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2019/2 vom 11. November 2020</w:t>
      </w:r>
    </w:p>
    <w:p>
      <w:r>
        <w:t>Sg Versicherungsgericht, 2020-11-11, DE</w:t>
      </w:r>
    </w:p>
    <w:p>
      <w:r>
        <w:rPr>
          <w:b/>
        </w:rPr>
        <w:t xml:space="preserve">Quelle: </w:t>
      </w:r>
      <w:r>
        <w:t>https://mcp.opencaselaw.ch/entscheid/sg_publikationen_UV 2019_2</w:t>
      </w:r>
    </w:p>
    <w:p>
      <w:r>
        <w:t>FR: SG_VERSICHERUNGSGERICHT UV 2019/2 du 11 novembre 2020</w:t>
      </w:r>
    </w:p>
    <w:p>
      <w:r>
        <w:t>IT: SG_VERSICHERUNGSGERICHT UV 2019/2 del 11 novembre 2020</w:t>
      </w:r>
    </w:p>
    <w:p>
      <w:pPr>
        <w:pStyle w:val="Heading2"/>
      </w:pPr>
      <w:r>
        <w:t>Regeste</w:t>
      </w:r>
    </w:p>
    <w:p>
      <w:r>
        <w:t>Art. 18 UVG, Art. 7, Art. 8 Abs. 1 und 16 ATSG. Rentenanspruch. Massgebend für die Bestimmung der Invalidität ist auch bei in eigener Gesellschaft beschäftigten Versicherten der Verlust von Erwerbsmöglichkeiten bezogen auf einen ausgeglichenen Arbeitsmarkt. Reformatio in peius: Abweisung des Rentengesuchs (Entscheid des Versicherungsgerichts des Kantons St. Gallen vom 11. November 2020, UV 2019/2). Art. 18 UVG, Art. 7, Art. 8 Abs. 1 und 16 ATSG. Rentenanspruch. Massgebend für die Bestimmung der Invalidität ist auch bei in eigener Gesellschaft beschäftigten Versicherten der Verlust von Erwerbsmöglichkeiten bezogen auf einen ausgeglichenen Arbeitsmarkt. Reformatio in peius: Abweisung des Rentengesuchs (Entscheid des Versicherungsgerichts des Kantons St. Gallen vom 11. November 2020, UV 2019/2). Bestätigt durch Urteil des Bundesgerichts 8C_12/2021.</w:t>
      </w:r>
    </w:p>
    <w:p>
      <w:pPr>
        <w:pStyle w:val="Heading2"/>
      </w:pPr>
      <w:r>
        <w:t>Erwägungen</w:t>
      </w:r>
    </w:p>
    <w:p>
      <w:r>
        <w:rPr>
          <w:b/>
        </w:rPr>
        <w:t>E. 2</w:t>
      </w:r>
    </w:p>
    <w:p>
      <w:r>
        <w:t>Die Parteien vertreten unterschiedliche Auffassungen bezüglich der Höhe der Vergleichseinkommen. Nicht umstritten ist namentlich, dass der vom Beschwerdeführer geklagte Gesundheitsschaden eine Unfallfolge darstellt. Ob diese Betrachtungsweise zutrifft, kann vorliegend offengelassen werden, da ohnehin kein rentenbegründender Mindestinvaliditätsgrad vorliegt, wie sich aus den nachfolgenden Erwägungen ergibt.</w:t>
      </w:r>
    </w:p>
    <w:p>
      <w:r>
        <w:rPr>
          <w:b/>
        </w:rPr>
        <w:t>E. 2.1</w:t>
      </w:r>
    </w:p>
    <w:p>
      <w:r>
        <w:t>Wie den massgebenden gesetzlichen Bestimmungen von Art. 7 Abs. 1 und Art. 16 ATSG zu entnehmen ist, bilden die Erwerbsmöglichkeiten auf dem in Betracht kommenden ausgeglichenen Arbeitsmarkt bzw. bei ausgeglichener Arbeitsmarktlage das rentenversicherte Gut und dessen Verlust den rentenversicherten Schaden. Massgebend für die Bestimmung der Invalidität ist der Verlust an Erwerbsmöglichkeiten und zwar ausdrücklich bezogen auf einen hypothetisch angenommenen ausgeglichen Arbeitsmarkt, d.h. im Rahmen einer hypothetisch angenommenen unselbstständigen Erwerbstätigkeit auf demselben. Der Verlust an Erwerbsmöglichkeiten ist damit gerade nicht identisch mit einem konkreten Einkommens- (BGE 119 V 475 ff. Regeste und E. 2b = Praxis 1994, Nr. 287, S. 942 ff.) oder Ertragsverlust, sei es nun im Rahmen einer selbstständigen oder unselbstständigen Erwerbstätigkeit, zumal betriebliche Umsätze zu einem erheblichen Teil durch validitätsfremde konjunkturelle sowie strukturelle Faktoren und die unternehmerische Gestaltung bestimmt sind (Entscheid des Versicherungsgerichts vom 20. Juli 2020, IV 2019/230, E. 3.3).</w:t>
      </w:r>
    </w:p>
    <w:p>
      <w:r>
        <w:rPr>
          <w:b/>
        </w:rPr>
        <w:t>E. 2.2</w:t>
      </w:r>
    </w:p>
    <w:p>
      <w:r>
        <w:t>Nicht massgebend für die Ermittlung der versicherten Erwerbsmöglichkeiten einer Person und folglich auszublenden sind ausserhalb des ausgeglichenen Arbeitsmarkts liegende Faktoren. Dies gilt namentlich für die Ertragskraft eines Unternehmens mitbestimmende Faktoren wie Kapitalinvestitionen, Konjunkturlage, konkrete Marktbeschaffenheit, konkrete Konkurrenz- bzw. Wettbewerbssituation und Einsatz von Arbeitskraft allfällig weiterer Mitarbeitenden. Bezüglich des letztgenannten Gesichtspunkts ist zu ergänzen, dass die vom Unternehmen bzw. Geschäftsinhaber bzw. von der Geschäftsinhaberin an Mitarbeitende bezahlten Löhne sich nicht gleichmässig zum Geschäftserfolg entwickeln. Die Entschädigung für den Arbeitskrafteinsatz eines Mitarbeitenden bemisst sich nämlich nicht entsprechend dem konkreten Beitrag zum Unternehmenserfolg. Aus der jeweiligen Differenz entsteht für den Geschäftsinhaber bzw. die Geschäftsinhaberin entweder ein Verlust oder Gewinn, welche eben nicht Ausdruck der Erwerbsfähigkeit des Geschäfts­inhabers bzw. der Geschäftsinhaberin bildet.</w:t>
      </w:r>
    </w:p>
    <w:p>
      <w:r>
        <w:rPr>
          <w:b/>
        </w:rPr>
        <w:t>E. 2.3</w:t>
      </w:r>
    </w:p>
    <w:p>
      <w:r>
        <w:t>Ausserdem versichert die Unfallversicherung nicht den Umsatz oder den Ertrag der von einer versicherten Person beherrschten Gesellschaft und die von ihr hierfür als Kapitalgeberin oder Kapitalgeber getätigten Investitionen bzw. ihre diesbezüglich eingegangenen finanziellen Verpflichtungen, sondern allein ihre Erwerbsmöglichkeiten bezogen auf einen ausgeglichen Arbeitsmarkt. Eine andere Betrachtungsweise würde nicht bloss eine nicht gerechtfertigte Ungleichbehandlung von Versicherten, die in einer von ihnen beherrschten Gesellschaft bzw. selbstständig erwerbstätig sind, im Vergleich zu Versicherten, die in einem «normalen» Anstellungsverhältnis arbeiten, bedeuten, sondern auch zu einem von Art. 7 Abs. 1 ATSG abweichenden Validitäts- und Invaliditätsbegriff führen (vgl. den Entscheid des Versicherungsgerichts vom 20. Juli 2020, IV 2019/230, E. 3.3 am Schluss). Entgegen der Sichtweise des Beschwerdeführers (act. G 1, Rz 28) bildet damit nicht seine Leistungsfähigkeit als Inhaber einer GmbH oder als Arbeitgeber das versicherte Gut.</w:t>
      </w:r>
    </w:p>
    <w:p>
      <w:r>
        <w:rPr>
          <w:b/>
        </w:rPr>
        <w:t>E. 2.4</w:t>
      </w:r>
    </w:p>
    <w:p>
      <w:r>
        <w:t>Nach dem Gesagten muss bei der Bestimmung des Valideneinkommens die Frage beantwortet werden, welches die Erwerbsmöglichkeiten («possibilités de gain») einer versicherten Person sind, von welcher angenommen wird, dass sie sie voll ausnützt. Es ist ein hypothetisches Einkommen in Betracht zu ziehen, das aufgrund der Fähigkeiten und der persönlichen Situation der versicherten Person geschätzt wird; dabei ist auf einen Lohn abzustellen, den eine gesunde Person gleichen Alters und gleicher Bildung unter vergleichbaren Umständen erzielen würde; die Durchschnittslöhne der betreffenden Branche können ebenfalls als Vergleichsbasis dienen (BGE 119 V 481 E. 2b mit zahlreichen Hinweisen auf die Literatur = Praxis 1994, Nr. 287, E. 2b, S. 946 Mitte). Das vom Beschwerdeführer beantragte betriebswirtschaftliche Gutachten (act. G 1, Rz 25) dient gerade nicht der Beantwortung der relevanten Fragestellung, weshalb darauf zu verzichten ist.</w:t>
      </w:r>
    </w:p>
    <w:p>
      <w:r>
        <w:rPr>
          <w:b/>
        </w:rPr>
        <w:t>E. 2.4.1</w:t>
      </w:r>
    </w:p>
    <w:p>
      <w:r>
        <w:t>Aus dem individuellen Konto bezüglich der Jahre ab 2008 geht hervor, dass der Beschwerdeführer wiederholt mehrere Monate Arbeitslosentschädigung bezog und im Vergleich zum LSE-Hilfsarbeiterlohn erheblich tiefere Jahresverdienste als unselbstständig erwerbender Gipser erzielte (UV-act. I-205; zur Tätigkeit als Gipser siehe auch die Angaben des Beschwerdeführers in UV-act. 121-1 f.). Es lässt sich weder daraus noch aus den übrigen Akten der Schluss ziehen, dass der Beschwerdeführer als (angelernter) Gipser (act. G 1, Rz 28) über eine über dem LSE-Hilfsarbeiterlohn liegende Erwerbsfähigkeit verfügte. Wie die Beschwerdegegnerin zudem zutreffend darlegte, fiel denn auch der Ausfall des Beschwerdeführers als Gipser für die Betriebserträge nicht ins Gewicht. Vielmehr steigerten sich diese (act. G 10). Ins Bild passt und das ist letztlich entscheidend, dass der Beschwerdeführer nach eigenen Angaben über eine Ausbildung zum Kaufmann verfügt, die ihn zu einem Geschäftsführer befähigt (act. G 1, Rz 28). Er erledigt denn auch die «fachliche Geschäftsführung» (etwa Vertretung der Gesellschaft gegenüber Kunden, «Vermassung auf der Baustelle» und Bauleitung; act. G 1, Rz 7) und vermag zumindest einen Teil der in der eigenen Gesellschaft anfallenden administrativen Tätigkeiten zu erledigen (wie etwa Erstellen von Offerten, Zahlungsverkehr und Bestellungen; UV-act. I-121-2 und UV-act. I-86-1). Es ist offensichtlich, dass die damit verbundenen Erwerbsmöglichkeiten auf einem ausgeglichenen Arbeitsmarkt höher sind als diejenigen als angelernter Gipser. Der als ausgeglichen anzunehmende Arbeitsmarkt beinhaltet die Fiktion, dass (realistisch verwertbare) Erwerbsmöglichkeiten einer versicherten Person arbeitgeberseits nachgefragt werden (vgl. Andreas Traub, N 20 zu Art. 7, in: Ghislaine Frésard-Fellay/ Barbara Klett/Susanne Leuzinger [Hrsg.], Allgemeiner Teil des Sozialversicherungsrechts, Basler Kommentar, 2019). Es ist folglich mit überwiegender Wahrscheinlichkeit davon auszugehen, dass die verwertbaren Erwerbsmöglichkeiten des Beschwerdeführers als kaufmännischer Angestellter oder (angestellter) Geschäftsführer eines Gipsereibetriebs oder eines vergleichbaren Unternehmens bei voller Ausnützung auf dem ausgeglichenen Arbeitsmarkt nachgefragt würden und bezüglich erzielbarer Lohnhöhe besser sind als diejenigen als angelernter Gipser. Zur Bestimmung des Valideneinkommens ist deshalb auf eine solche kaufmännische bzw. geschäftsführende unselbstständige Tätigkeit abzustellen.</w:t>
      </w:r>
    </w:p>
    <w:p>
      <w:r>
        <w:rPr>
          <w:b/>
        </w:rPr>
        <w:t>E. 2.4.2</w:t>
      </w:r>
    </w:p>
    <w:p>
      <w:r>
        <w:t>An dieser Sichtweise ändert das Vorbringen des Beschwerdeführers in der Stellungnahme vom 30. Oktober 2020 nichts, er habe die in H.___ ab 1989 absolvierte kaufmännische Ausbildung anfangs April 1992 kriegsbedingt abbrechen müssen (act. G 12, Rz 2). Vielmehr ist aus dieser ungefähr dreijährigen Ausbildungszeit zu schliessen, dass der Beschwerdeführer zumindest wesentliche kaufmännische Kenntnisse zu erwerben vermochte, die sich nicht massgeblich von einer förmlich abgeschlossenen Ausbildung unterscheiden. Davon ging der Beschwerdeführer denn auch - bis zu seinem damit im Widerspruch stehenden Vorbringen vom 30. Oktober 2020 - selbst aus. So geht aus verschiedenen Akten hervor, dass er sich selbst als gelernten Kaufmann betrachtete (siehe etwa UV-act. I-69-3, UV-act. I-163-4 mit Hinweisen auf von ihm erledigten administrativen Tätigkeiten; act. G 1, III. Rz 28). In damit zu vereinbarender Weise hob der Beschwerdeführer wiederholt hervor, dass er über geschäftsführerische bzw. kaufmännische Qualitäten verfüge. Er sei «der wichtigste Angestellte seiner Firma. Er erledigte die fachliche Geschäftsführung (Vertretung der Firma gegenüber Kunden, Vermassung auf der Baustelle, Offertstellung, Bauleitung)» (act. G 1, III. Rz 7; zum erheblichen Anteil bzw. zur Verwertung der persönlichen Ressourcen für die Geschäftsführertätigkeit siehe etwa die Angaben des Beschwerdeführers in act. G 8, Rz 9 und Rz 15). Darunter fallen des Weiteren «Besprechungen auf den Baustellen, Überwachung und Anleitung der Angestellten und Unterakkordanten, das Erteilen von Anweisungen bei unvorhergesehenen Problemen, kurzfristige Materialbeschaffungen, die Vertragsabwicklung mit Unter­akkordanten usw.» (act. G 8, Rz 15; zur «Vorbild- und Aufpasserfunktion» siehe act. G 8, Rz 20). Er verfüge «über gute unternehmerische Fähigkeiten, was er wohl seiner Ausbildung als Kaufmann zu verdanken hat» (act. G 1, III. Rz 28). Zudem forderte er selbst, dass zur Bestimmung des Valideneinkommens und damit der Erwerbsfähigkeit vor dem Eintritt der gesundheitlichen Beeinträchtigung auf eine Geschäftsführertätigkeit abzustellen sei (act. G 1, III. Rz 28 f. mit Ausführungen zum entsprechenden Mindestlohnpotential; zur Selbstbeurteilung seiner «Wertschöpfung der Arbeitsleistung» siehe act. G 8, Rz 19). Weshalb dies nicht auch für die Bemessung der Resterwerbsfähigkeit gelten soll (siehe hierzu nachstehende E. 2.5), vermag der Beschwerdeführer nicht darzutun.</w:t>
      </w:r>
    </w:p>
    <w:p>
      <w:r>
        <w:rPr>
          <w:b/>
        </w:rPr>
        <w:t>E. 2.4.3</w:t>
      </w:r>
    </w:p>
    <w:p>
      <w:r>
        <w:t>Der Beschwerdeführer machte in der Eingabe vom 30. Oktober 2020 zudem eingeschränkte Deutschkenntnisse geltend (act. G 15, Rz 3). Diese scheinen den Beschwerdeführer bislang nicht daran gehindert haben, seine kaufmännischen Qualitäten bzw. seine Geschäftsführerqualitäten in der Schweiz erfolgreich zu verwerten (siehe vorstehende E. 2.4.2, insbesondere die dort erwähnten Aufgaben die mit hohen Anforderungen an die Kommunika­tionskompetenz verbunden sind, wie etwa Offertstellungen, Anleitungen, Vertragsabwicklung sowie Besprechungen). Im Übrigen vermochte der Beschwerdeführer auch problemlos an Besprechungen mit dem Case Manager teilzunehmen (UV-act. I-162-1 oben) und auch der Kreisarzt bezeichnete die Kommunikation in deutscher Sprache - abgesehen von Nachfragen - als uneingeschränkt (UV-act. I-69-4). Jedenfalls bestehen keine stichhaltigen Gründe, die es nachvollziehbar erscheinen lassen, dass der Beschwerdeführer aufgrund der von ihm vorgebrachten Deutschkenntnisse seine bisher umgesetzten Qualitäten im kaufmännischen Bereich bzw. als angestellter Geschäftsführer nicht auch an anderen Arbeitsplätzen zumindest in baugewerbenahen bzw. handwerklich orientierten Betrieben - wie sie auch ein ausgeglichener Arbeitsmarkt enthält - zu verwerten vermöchte.</w:t>
      </w:r>
    </w:p>
    <w:p>
      <w:r>
        <w:rPr>
          <w:b/>
        </w:rPr>
        <w:t>E. 2.5</w:t>
      </w:r>
    </w:p>
    <w:p>
      <w:r>
        <w:t>Da die Tätigkeit als kaufmännischer Angestellter vollumfänglich dem Anforderungsprofil einer leidensangepassten Tätigkeit entspricht (siehe hierzu UV-act. I-163-7 und vorstehende lit. A.g), ist auch bezüglich der Bestimmung des Invalideneinkommens darauf abzustellen. Damit beruhen beide Vergleichseinkommen auf derselben Grundlage, womit eine konkrete betragliche Ermittlung unterbleiben und stattdessen ein Prozentvergleich vorgenommen werden kann (vgl. hierzu etwa das Urteil des Bundesgerichts vom 6. April 2016, 8C_628/2015, E. 5.3.1 mit Hinweisen). Mit Blick darauf, dass der Beschwerdeführer auch mit dem Gesundheitsschaden in einem ebenfalls angestammten Bereich seine Erwerbsmöglichkeiten verwerten könnte und zudem keine weiteren lohnmindernden Umstände erkennbar sind, ist kein Tabellenlohnabzug vorzunehmen. Somit resultiert ein Invaliditätsgrad von 0%.</w:t>
      </w:r>
    </w:p>
    <w:p>
      <w:r>
        <w:rPr>
          <w:b/>
        </w:rPr>
        <w:t>E. 2.6</w:t>
      </w:r>
    </w:p>
    <w:p>
      <w:r>
        <w:t>Zu wiederholen bleibt, dass die Unfallversicherung keinen Kapitalschutz für in ein eigenes Geschäft investiertes Vermögen übernimmt (siehe vorstehende E. 2.3). Vor diesem Hintergrund und in Nachachtung des gesetzlich vorgesehenen Validitäts-/Invalidi­tätsbegriffs (Art. 8 Abs. 1 ATSG i.V.m. Art. 7 Abs. 1 ATSG) ist für die Bestimmung des Verlusts der Erwerbsmöglichkeiten auf dem ausgeglichenen Arbeitsmarkt bzw. der Invalidität nicht von Bedeutung, dass der Beschwerdeführer eine eigene Gesellschaft gründete und dort sein Einkommen erzielt. Im Übrigen wäre ihm die Aufgabe bzw. der Verkauf seiner erst 2014 gegründeten Gesellschaft zumutbar, zumal sie nach seinen eigenen Angaben floriert und erhebliche stille Reserven gebildet werden konnten (act. G 1, Rz 23). Folglich erscheint die Gesellschaft für einen potenziellen Käufer attraktiv, womit bei deren Verkauf wohl nicht mit relevanten Investitionsverlusten zu rechnen wäre. Erst recht als zumutbar erscheint, dass sich der Beschwerdeführer zugunsten einer vollzeitlichen Verwertung seiner Erwerbsmöglichkeiten in einer leidensangepassten Tätigkeit lediglich als Geschäftsführer aus der eigenen Gesellschaft zurückzieht, ohne die Gesellschaft zu verkaufen.</w:t>
      </w:r>
    </w:p>
    <w:p>
      <w:r>
        <w:rPr>
          <w:b/>
        </w:rPr>
        <w:t>E. 3.1</w:t>
      </w:r>
    </w:p>
    <w:p>
      <w:r>
        <w:t>Nach dem Gesagten ist der angefochtene Einspracheentscheid zu Ungunsten des Beschwerdeführers zu korrigieren. Wie von der Beschwerdegegnerin beantragt (act. G 3), ist der Einspracheentscheid aufzuheben und das Rentengesuch des Beschwerdeführers abzuweisen.</w:t>
      </w:r>
    </w:p>
    <w:p>
      <w:r>
        <w:rPr>
          <w:b/>
        </w:rPr>
        <w:t>E. 3.2</w:t>
      </w:r>
    </w:p>
    <w:p>
      <w:r>
        <w:t>Gerichtskosten sind keine zu erheben (Art. 61 lit. a ATSG).</w:t>
      </w:r>
    </w:p>
    <w:p>
      <w:r>
        <w:rPr>
          <w:b/>
        </w:rPr>
        <w:t>E. 3.3</w:t>
      </w:r>
    </w:p>
    <w:p>
      <w:r>
        <w:t>Ausgangsgemäss hat der Beschwerdeführer keinen Anspruch auf eine Parteientschädigung. Entscheid im Zirkulationsverfahren gemäss Art. 39 VRP Der Einspracheentscheid vom 19. November 2018 wird aufgehoben und das Renten­gesuch des Beschwerdeführers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